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F9BD" w14:textId="14B43994" w:rsidR="00711B2B" w:rsidRPr="0075507E" w:rsidRDefault="0075507E">
      <w:pPr>
        <w:spacing w:after="41" w:line="259" w:lineRule="auto"/>
        <w:ind w:left="0" w:right="-5385" w:firstLine="0"/>
        <w:rPr>
          <w:sz w:val="44"/>
          <w:szCs w:val="44"/>
        </w:rPr>
      </w:pPr>
      <w:r w:rsidRPr="0075507E">
        <w:rPr>
          <w:sz w:val="44"/>
          <w:szCs w:val="44"/>
        </w:rPr>
        <w:t>SAUER</w:t>
      </w:r>
      <w:r w:rsidR="00307565">
        <w:rPr>
          <w:sz w:val="44"/>
          <w:szCs w:val="44"/>
        </w:rPr>
        <w:t>-SYSTEMS</w:t>
      </w:r>
      <w:r w:rsidRPr="0075507E">
        <w:rPr>
          <w:sz w:val="44"/>
          <w:szCs w:val="44"/>
        </w:rPr>
        <w:t xml:space="preserve"> </w:t>
      </w:r>
      <w:proofErr w:type="spellStart"/>
      <w:r w:rsidRPr="0075507E">
        <w:rPr>
          <w:sz w:val="44"/>
          <w:szCs w:val="44"/>
        </w:rPr>
        <w:t>Fluginsektenvernichter</w:t>
      </w:r>
      <w:proofErr w:type="spellEnd"/>
      <w:r w:rsidRPr="0075507E">
        <w:rPr>
          <w:sz w:val="44"/>
          <w:szCs w:val="44"/>
        </w:rPr>
        <w:t xml:space="preserve"> Typ THEKE</w:t>
      </w:r>
    </w:p>
    <w:p w14:paraId="682A997B" w14:textId="75DE64CC" w:rsidR="00711B2B" w:rsidRDefault="003C5825">
      <w:pPr>
        <w:spacing w:after="20" w:line="259" w:lineRule="auto"/>
        <w:ind w:left="-5"/>
        <w:rPr>
          <w:color w:val="1B2426"/>
          <w:sz w:val="20"/>
        </w:rPr>
      </w:pPr>
      <w:r>
        <w:rPr>
          <w:color w:val="1B2426"/>
          <w:sz w:val="20"/>
        </w:rPr>
        <w:t>Wespen- und Fruchtfliegenkontrolle für den Thekenbereich</w:t>
      </w:r>
    </w:p>
    <w:p w14:paraId="12CA2917" w14:textId="77777777" w:rsidR="00775296" w:rsidRDefault="00775296">
      <w:pPr>
        <w:spacing w:after="20" w:line="259" w:lineRule="auto"/>
        <w:ind w:left="-5"/>
      </w:pPr>
    </w:p>
    <w:p w14:paraId="454EEB02" w14:textId="77777777" w:rsidR="00711B2B" w:rsidRDefault="00711B2B">
      <w:pPr>
        <w:sectPr w:rsidR="00711B2B">
          <w:pgSz w:w="11900" w:h="16840"/>
          <w:pgMar w:top="313" w:right="5841" w:bottom="285" w:left="396" w:header="720" w:footer="720" w:gutter="0"/>
          <w:cols w:space="720"/>
        </w:sectPr>
      </w:pPr>
    </w:p>
    <w:p w14:paraId="7F9A9812" w14:textId="77777777" w:rsidR="00711B2B" w:rsidRDefault="003C5825" w:rsidP="0075507E">
      <w:pPr>
        <w:spacing w:after="189" w:line="265" w:lineRule="auto"/>
        <w:ind w:left="-5"/>
      </w:pPr>
      <w:r>
        <w:rPr>
          <w:b/>
          <w:color w:val="211E1F"/>
        </w:rPr>
        <w:t>Bitte lesen Sie sich diese Gebrauchsanweisung aufmerksam durch und verwahren Sie sie gut auf.</w:t>
      </w:r>
    </w:p>
    <w:p w14:paraId="68C8DD67" w14:textId="5ED7A6DF" w:rsidR="00711B2B" w:rsidRDefault="003C5825">
      <w:pPr>
        <w:spacing w:after="206"/>
        <w:ind w:left="-5"/>
      </w:pPr>
      <w:r>
        <w:rPr>
          <w:color w:val="211E1F"/>
        </w:rPr>
        <w:t>Der</w:t>
      </w:r>
      <w:r w:rsidR="0075507E">
        <w:rPr>
          <w:color w:val="211E1F"/>
        </w:rPr>
        <w:t xml:space="preserve"> </w:t>
      </w:r>
      <w:bookmarkStart w:id="0" w:name="_Hlk20131356"/>
      <w:r w:rsidR="0075507E">
        <w:rPr>
          <w:color w:val="211E1F"/>
        </w:rPr>
        <w:t>Fluginsektenvernichter Typ THEKE</w:t>
      </w:r>
      <w:r>
        <w:rPr>
          <w:color w:val="211E1F"/>
        </w:rPr>
        <w:t xml:space="preserve"> </w:t>
      </w:r>
      <w:bookmarkEnd w:id="0"/>
      <w:r>
        <w:rPr>
          <w:color w:val="211E1F"/>
        </w:rPr>
        <w:t xml:space="preserve">bietet einen effektiven und flexiblen Schutz gegen Wespen und Fruchtfliegen im Thekenbereich durch die Nutzung einer </w:t>
      </w:r>
      <w:proofErr w:type="spellStart"/>
      <w:r>
        <w:rPr>
          <w:color w:val="211E1F"/>
        </w:rPr>
        <w:t>Synergetic</w:t>
      </w:r>
      <w:proofErr w:type="spellEnd"/>
      <w:r>
        <w:rPr>
          <w:rFonts w:ascii="Calibri" w:eastAsia="Calibri" w:hAnsi="Calibri" w:cs="Calibri"/>
          <w:i w:val="0"/>
          <w:color w:val="211E1F"/>
        </w:rPr>
        <w:t>®</w:t>
      </w:r>
      <w:r>
        <w:rPr>
          <w:color w:val="211E1F"/>
        </w:rPr>
        <w:t xml:space="preserve"> Hochleistung</w:t>
      </w:r>
      <w:r w:rsidR="00775296">
        <w:rPr>
          <w:color w:val="211E1F"/>
        </w:rPr>
        <w:t>s-</w:t>
      </w:r>
      <w:r>
        <w:rPr>
          <w:color w:val="211E1F"/>
        </w:rPr>
        <w:t xml:space="preserve">UV-Röhre. Das Gerät ist entwickelt für die Verwendung der hocheffektiven </w:t>
      </w:r>
      <w:proofErr w:type="spellStart"/>
      <w:r>
        <w:rPr>
          <w:color w:val="211E1F"/>
        </w:rPr>
        <w:t>glupac</w:t>
      </w:r>
      <w:proofErr w:type="spellEnd"/>
      <w:r>
        <w:rPr>
          <w:rFonts w:ascii="Calibri" w:eastAsia="Calibri" w:hAnsi="Calibri" w:cs="Calibri"/>
          <w:i w:val="0"/>
          <w:color w:val="211E1F"/>
        </w:rPr>
        <w:t>®</w:t>
      </w:r>
      <w:r>
        <w:rPr>
          <w:color w:val="211E1F"/>
        </w:rPr>
        <w:t xml:space="preserve"> Klebefolie.</w:t>
      </w:r>
    </w:p>
    <w:p w14:paraId="7CE2A3C9" w14:textId="77777777" w:rsidR="00711B2B" w:rsidRDefault="003C5825">
      <w:pPr>
        <w:pStyle w:val="berschrift1"/>
        <w:ind w:left="-5"/>
      </w:pPr>
      <w:r>
        <w:t>LIEFERUMFANG</w:t>
      </w:r>
    </w:p>
    <w:p w14:paraId="1DB26163" w14:textId="1A82EECC" w:rsidR="00711B2B" w:rsidRDefault="003C5825">
      <w:pPr>
        <w:numPr>
          <w:ilvl w:val="0"/>
          <w:numId w:val="1"/>
        </w:numPr>
        <w:spacing w:after="8"/>
        <w:ind w:hanging="107"/>
      </w:pPr>
      <w:r>
        <w:rPr>
          <w:color w:val="211E1F"/>
        </w:rPr>
        <w:t>1 x Wespen- und Fruchtfliegenfanggerät</w:t>
      </w:r>
    </w:p>
    <w:p w14:paraId="5F4EE71C" w14:textId="3969D152" w:rsidR="00711B2B" w:rsidRDefault="003C5825">
      <w:pPr>
        <w:numPr>
          <w:ilvl w:val="0"/>
          <w:numId w:val="1"/>
        </w:numPr>
        <w:spacing w:after="8"/>
        <w:ind w:hanging="107"/>
      </w:pPr>
      <w:r>
        <w:rPr>
          <w:color w:val="211E1F"/>
        </w:rPr>
        <w:t xml:space="preserve">2 x </w:t>
      </w:r>
      <w:proofErr w:type="spellStart"/>
      <w:r>
        <w:rPr>
          <w:color w:val="211E1F"/>
        </w:rPr>
        <w:t>glupac</w:t>
      </w:r>
      <w:proofErr w:type="spellEnd"/>
      <w:r>
        <w:rPr>
          <w:rFonts w:ascii="Calibri" w:eastAsia="Calibri" w:hAnsi="Calibri" w:cs="Calibri"/>
          <w:i w:val="0"/>
          <w:color w:val="211E1F"/>
        </w:rPr>
        <w:t>®</w:t>
      </w:r>
      <w:r>
        <w:rPr>
          <w:color w:val="211E1F"/>
        </w:rPr>
        <w:t xml:space="preserve"> Klebefolien </w:t>
      </w:r>
      <w:r w:rsidR="00775296">
        <w:rPr>
          <w:color w:val="211E1F"/>
        </w:rPr>
        <w:t>mit Pheromonen</w:t>
      </w:r>
      <w:r>
        <w:rPr>
          <w:color w:val="211E1F"/>
        </w:rPr>
        <w:t xml:space="preserve"> imprägniert</w:t>
      </w:r>
    </w:p>
    <w:p w14:paraId="7104F655" w14:textId="77777777" w:rsidR="00711B2B" w:rsidRDefault="003C5825">
      <w:pPr>
        <w:numPr>
          <w:ilvl w:val="0"/>
          <w:numId w:val="1"/>
        </w:numPr>
        <w:spacing w:after="8"/>
        <w:ind w:hanging="107"/>
      </w:pPr>
      <w:r>
        <w:rPr>
          <w:color w:val="211E1F"/>
        </w:rPr>
        <w:t>1 x Netzkabel</w:t>
      </w:r>
    </w:p>
    <w:p w14:paraId="666B20EC" w14:textId="5F808C0A" w:rsidR="00711B2B" w:rsidRDefault="003C5825">
      <w:pPr>
        <w:numPr>
          <w:ilvl w:val="0"/>
          <w:numId w:val="1"/>
        </w:numPr>
        <w:spacing w:after="8"/>
        <w:ind w:hanging="107"/>
      </w:pPr>
      <w:r>
        <w:rPr>
          <w:color w:val="211E1F"/>
        </w:rPr>
        <w:t>1 x Hochleistungs</w:t>
      </w:r>
      <w:r w:rsidR="00775296">
        <w:rPr>
          <w:color w:val="211E1F"/>
        </w:rPr>
        <w:t>-</w:t>
      </w:r>
      <w:proofErr w:type="spellStart"/>
      <w:r>
        <w:rPr>
          <w:color w:val="211E1F"/>
        </w:rPr>
        <w:t>Synergetic</w:t>
      </w:r>
      <w:proofErr w:type="spellEnd"/>
      <w:r>
        <w:rPr>
          <w:rFonts w:ascii="Calibri" w:eastAsia="Calibri" w:hAnsi="Calibri" w:cs="Calibri"/>
          <w:i w:val="0"/>
          <w:color w:val="211E1F"/>
        </w:rPr>
        <w:t>®</w:t>
      </w:r>
      <w:r>
        <w:rPr>
          <w:color w:val="211E1F"/>
        </w:rPr>
        <w:t xml:space="preserve"> UV-Röhre (vorinstalliert)</w:t>
      </w:r>
    </w:p>
    <w:p w14:paraId="36DAFC4A" w14:textId="77777777" w:rsidR="00711B2B" w:rsidRDefault="003C5825">
      <w:pPr>
        <w:numPr>
          <w:ilvl w:val="0"/>
          <w:numId w:val="1"/>
        </w:numPr>
        <w:spacing w:after="8"/>
        <w:ind w:hanging="107"/>
      </w:pPr>
      <w:r>
        <w:rPr>
          <w:color w:val="211E1F"/>
        </w:rPr>
        <w:t>2 x Schrauben und Dübel für die Wandbefestigung</w:t>
      </w:r>
    </w:p>
    <w:p w14:paraId="0A0D74B5" w14:textId="77777777" w:rsidR="00711B2B" w:rsidRDefault="003C5825">
      <w:pPr>
        <w:numPr>
          <w:ilvl w:val="0"/>
          <w:numId w:val="1"/>
        </w:numPr>
        <w:spacing w:after="8"/>
        <w:ind w:hanging="107"/>
      </w:pPr>
      <w:r>
        <w:rPr>
          <w:color w:val="211E1F"/>
        </w:rPr>
        <w:t>2 x Clips</w:t>
      </w:r>
    </w:p>
    <w:p w14:paraId="414304B8" w14:textId="77777777" w:rsidR="00711B2B" w:rsidRDefault="003C5825">
      <w:pPr>
        <w:numPr>
          <w:ilvl w:val="0"/>
          <w:numId w:val="1"/>
        </w:numPr>
        <w:spacing w:after="197"/>
        <w:ind w:hanging="107"/>
      </w:pPr>
      <w:r>
        <w:rPr>
          <w:color w:val="211E1F"/>
        </w:rPr>
        <w:t>2 x optionale Schalen für Wespen- und Fruchtfliegenlockstoff</w:t>
      </w:r>
    </w:p>
    <w:p w14:paraId="4318CCD4" w14:textId="77777777" w:rsidR="00711B2B" w:rsidRDefault="003C5825">
      <w:pPr>
        <w:spacing w:after="201"/>
        <w:ind w:left="-5"/>
      </w:pPr>
      <w:r>
        <w:rPr>
          <w:b/>
          <w:color w:val="211E1F"/>
        </w:rPr>
        <w:t>WARNUNG</w:t>
      </w:r>
      <w:r>
        <w:rPr>
          <w:color w:val="211E1F"/>
        </w:rPr>
        <w:t>: DAS GERÄT MUSS GEERDET UND AN SEINER ENDGÜLTIGEN POSITION AUFGESTELLT SEIN, BEVOR ES AN DIE STROMVERSORGUNG ANGESCHLOSSEN WIRD.</w:t>
      </w:r>
    </w:p>
    <w:p w14:paraId="2976AD85" w14:textId="77777777" w:rsidR="00711B2B" w:rsidRDefault="003C5825">
      <w:pPr>
        <w:pStyle w:val="berschrift1"/>
        <w:ind w:left="-5"/>
      </w:pPr>
      <w:r>
        <w:t>PRODUKTE ZUR INSEKTENKONTROLLE</w:t>
      </w:r>
    </w:p>
    <w:p w14:paraId="48EB8C40" w14:textId="2B900624" w:rsidR="00711B2B" w:rsidRDefault="003C5825">
      <w:pPr>
        <w:spacing w:after="201"/>
        <w:ind w:left="-5"/>
      </w:pPr>
      <w:r>
        <w:rPr>
          <w:color w:val="211E1F"/>
        </w:rPr>
        <w:t>Der</w:t>
      </w:r>
      <w:r w:rsidR="0075507E">
        <w:rPr>
          <w:color w:val="211E1F"/>
        </w:rPr>
        <w:t xml:space="preserve"> Fluginsektenvernichter Typ THEKE</w:t>
      </w:r>
      <w:r>
        <w:rPr>
          <w:color w:val="211E1F"/>
        </w:rPr>
        <w:t xml:space="preserve"> nutzt eine Hochleistungs-UV-Röhre zur Anlockung von Wespen und Fruchtfliegen und fängt sie durch zwei, in Pheromone getränkte, </w:t>
      </w:r>
      <w:proofErr w:type="spellStart"/>
      <w:r>
        <w:rPr>
          <w:color w:val="211E1F"/>
        </w:rPr>
        <w:t>glupac</w:t>
      </w:r>
      <w:proofErr w:type="spellEnd"/>
      <w:r>
        <w:rPr>
          <w:rFonts w:ascii="Calibri" w:eastAsia="Calibri" w:hAnsi="Calibri" w:cs="Calibri"/>
          <w:i w:val="0"/>
          <w:color w:val="211E1F"/>
        </w:rPr>
        <w:t>®</w:t>
      </w:r>
      <w:r>
        <w:rPr>
          <w:color w:val="211E1F"/>
        </w:rPr>
        <w:t xml:space="preserve"> Klebefolien zuverlässig mit denen ein einfaches Monitoring gegeben ist.</w:t>
      </w:r>
    </w:p>
    <w:p w14:paraId="0F70514A" w14:textId="77777777" w:rsidR="00711B2B" w:rsidRDefault="003C5825">
      <w:pPr>
        <w:pStyle w:val="berschrift1"/>
        <w:ind w:left="-5"/>
      </w:pPr>
      <w:r>
        <w:t>WARNUNG</w:t>
      </w:r>
    </w:p>
    <w:p w14:paraId="62EB35C9" w14:textId="4F485444" w:rsidR="00711B2B" w:rsidRDefault="003C5825">
      <w:pPr>
        <w:spacing w:after="201"/>
        <w:ind w:left="-5"/>
      </w:pPr>
      <w:r>
        <w:rPr>
          <w:color w:val="211E1F"/>
        </w:rPr>
        <w:t>Der</w:t>
      </w:r>
      <w:r w:rsidR="0075507E">
        <w:rPr>
          <w:color w:val="211E1F"/>
        </w:rPr>
        <w:t xml:space="preserve"> Fluginsektenvernichter Typ THEKE</w:t>
      </w:r>
      <w:r>
        <w:rPr>
          <w:color w:val="211E1F"/>
        </w:rPr>
        <w:t xml:space="preserve"> ist außerhalb der Reichweite von Kindern und ungeschultem Personal zu betreiben. Wenn das Netzkabel beschädigt ist muss es von einem ausgebildeten Elektriker ausgetauscht werden. Austauschkabel können Sie von P+L Systems oder von Ihrem Lieferanten beziehen. Das Gerät ist ausschließlich für den Gebrauch im Hausinneren geeignet, wo es nicht der Witterung ausgesetzt ist.</w:t>
      </w:r>
    </w:p>
    <w:p w14:paraId="747B38CF" w14:textId="77777777" w:rsidR="00711B2B" w:rsidRDefault="003C5825">
      <w:pPr>
        <w:pStyle w:val="berschrift1"/>
        <w:ind w:left="-5"/>
      </w:pPr>
      <w:r>
        <w:t>NUTZUNGSBEREICHE</w:t>
      </w:r>
    </w:p>
    <w:p w14:paraId="363F4068" w14:textId="77777777" w:rsidR="00711B2B" w:rsidRDefault="0075507E">
      <w:pPr>
        <w:spacing w:after="8"/>
        <w:ind w:left="-5"/>
      </w:pPr>
      <w:r>
        <w:rPr>
          <w:color w:val="211E1F"/>
        </w:rPr>
        <w:t>F</w:t>
      </w:r>
      <w:r w:rsidR="003C5825">
        <w:rPr>
          <w:color w:val="211E1F"/>
        </w:rPr>
        <w:t xml:space="preserve">ür den Einsatz in allen </w:t>
      </w:r>
    </w:p>
    <w:p w14:paraId="33969C24" w14:textId="77777777" w:rsidR="00711B2B" w:rsidRDefault="003C5825">
      <w:pPr>
        <w:spacing w:after="201"/>
        <w:ind w:left="-5"/>
      </w:pPr>
      <w:r>
        <w:rPr>
          <w:color w:val="211E1F"/>
        </w:rPr>
        <w:t xml:space="preserve">Lebensmittelauslagebereichen designt und kann alternativ an der Wand befestigt werden. Bei Wandbefestigung sollte das Gerät idealerweise etwa zwei Meter über den Boden angebracht werden, vermeiden Sie es den </w:t>
      </w:r>
      <w:r w:rsidR="0075507E">
        <w:rPr>
          <w:b/>
        </w:rPr>
        <w:t xml:space="preserve"> </w:t>
      </w:r>
      <w:r w:rsidR="0075507E">
        <w:rPr>
          <w:color w:val="211E1F"/>
        </w:rPr>
        <w:t>Fluginsektenvernichter Typ THEKE</w:t>
      </w:r>
      <w:r>
        <w:rPr>
          <w:color w:val="211E1F"/>
        </w:rPr>
        <w:t xml:space="preserve"> zu hoch oder zu tief zu platzieren und achten Sie darauf, dass er an der dunkelsten Stelle des zu schützenden Raumes betrieben wird. </w:t>
      </w:r>
    </w:p>
    <w:p w14:paraId="33F0DA0F" w14:textId="77777777" w:rsidR="00711B2B" w:rsidRDefault="003C5825">
      <w:pPr>
        <w:pStyle w:val="berschrift1"/>
        <w:ind w:left="-5"/>
      </w:pPr>
      <w:r>
        <w:t>NUTZUNGSDAUER</w:t>
      </w:r>
    </w:p>
    <w:p w14:paraId="39EA4824" w14:textId="61894069" w:rsidR="00711B2B" w:rsidRDefault="003C5825">
      <w:pPr>
        <w:spacing w:after="201"/>
        <w:ind w:left="-5"/>
      </w:pPr>
      <w:r>
        <w:rPr>
          <w:color w:val="211E1F"/>
        </w:rPr>
        <w:t>Der</w:t>
      </w:r>
      <w:r w:rsidR="0075507E">
        <w:rPr>
          <w:color w:val="211E1F"/>
        </w:rPr>
        <w:t xml:space="preserve"> Fluginsektenvernichter Typ THEKE</w:t>
      </w:r>
      <w:r>
        <w:rPr>
          <w:color w:val="211E1F"/>
        </w:rPr>
        <w:t xml:space="preserve"> sollte idealerweise 24 Stunden am Tag betrieben werden um sicher zu gehen, dass Ihre Räumlichkeiten frei von Wespen und Fruchtfliegen sind. Das Gerät arbeitet in der Nacht am effektivsten, da es keine weiteren Lichteinflüsse gibt.</w:t>
      </w:r>
    </w:p>
    <w:p w14:paraId="6BDE6CFC" w14:textId="77777777" w:rsidR="00711B2B" w:rsidRDefault="003C5825">
      <w:pPr>
        <w:spacing w:after="8"/>
        <w:ind w:left="-5"/>
      </w:pPr>
      <w:r>
        <w:rPr>
          <w:color w:val="211E1F"/>
        </w:rPr>
        <w:t xml:space="preserve">Optional kann das Gerät zusätzlich mit einem Wespen- und </w:t>
      </w:r>
    </w:p>
    <w:p w14:paraId="4F07EC91" w14:textId="77777777" w:rsidR="00711B2B" w:rsidRDefault="003C5825">
      <w:pPr>
        <w:spacing w:after="201"/>
        <w:ind w:left="-5"/>
      </w:pPr>
      <w:r>
        <w:rPr>
          <w:color w:val="211E1F"/>
        </w:rPr>
        <w:t>Fruchtfliegenlockstoff ausgestattet werden um einen maximalen Fangerfolg zu erreichen. Der Lockstoff wird in die zwei abnehmbaren Schalen gefüllt, die sich im Gerät befinden (siehe Montageanleitung)</w:t>
      </w:r>
    </w:p>
    <w:p w14:paraId="0E59707C" w14:textId="5F1C156B" w:rsidR="00711B2B" w:rsidRDefault="003C5825">
      <w:pPr>
        <w:spacing w:after="3" w:line="265" w:lineRule="auto"/>
        <w:ind w:left="-5"/>
      </w:pPr>
      <w:r>
        <w:rPr>
          <w:b/>
          <w:color w:val="211E1F"/>
        </w:rPr>
        <w:t xml:space="preserve">WARNUNG! BEVOR SIE MIT DER BEFÜLLUNG DER SCHALEN MIT DEM LOCKSTOFF BEGINNEN, VERGEWISSERN SIE SICH IMMER, DASS SIE DAS GERÄT AUSGESCHALTET HABEN UND ES VON DER </w:t>
      </w:r>
      <w:r w:rsidR="00775296">
        <w:rPr>
          <w:b/>
          <w:color w:val="211E1F"/>
        </w:rPr>
        <w:t>STROMZUFUHR GETRENNT HABEN.</w:t>
      </w:r>
    </w:p>
    <w:p w14:paraId="183D0BEF" w14:textId="77777777" w:rsidR="00711B2B" w:rsidRDefault="003C5825">
      <w:pPr>
        <w:pStyle w:val="berschrift1"/>
        <w:spacing w:after="0" w:line="259" w:lineRule="auto"/>
        <w:ind w:left="-5"/>
      </w:pPr>
      <w:r>
        <w:rPr>
          <w:color w:val="221F1F"/>
        </w:rPr>
        <w:t>MONTAGE</w:t>
      </w:r>
    </w:p>
    <w:p w14:paraId="78FF7CDA" w14:textId="77777777" w:rsidR="00711B2B" w:rsidRDefault="003C5825">
      <w:pPr>
        <w:spacing w:after="201"/>
        <w:ind w:left="66"/>
      </w:pPr>
      <w:r>
        <w:rPr>
          <w:rFonts w:ascii="Calibri" w:eastAsia="Calibri" w:hAnsi="Calibri" w:cs="Calibri"/>
          <w:i w:val="0"/>
          <w:noProof/>
          <w:color w:val="000000"/>
          <w:sz w:val="22"/>
        </w:rPr>
        <mc:AlternateContent>
          <mc:Choice Requires="wpg">
            <w:drawing>
              <wp:anchor distT="0" distB="0" distL="114300" distR="114300" simplePos="0" relativeHeight="251658240" behindDoc="0" locked="0" layoutInCell="1" allowOverlap="1" wp14:anchorId="0189E125" wp14:editId="218EF6E6">
                <wp:simplePos x="0" y="0"/>
                <wp:positionH relativeFrom="page">
                  <wp:posOffset>251371</wp:posOffset>
                </wp:positionH>
                <wp:positionV relativeFrom="page">
                  <wp:posOffset>10513175</wp:posOffset>
                </wp:positionV>
                <wp:extent cx="7015214" cy="12700"/>
                <wp:effectExtent l="0" t="0" r="0" b="0"/>
                <wp:wrapTopAndBottom/>
                <wp:docPr id="27421" name="Group 27421"/>
                <wp:cNvGraphicFramePr/>
                <a:graphic xmlns:a="http://schemas.openxmlformats.org/drawingml/2006/main">
                  <a:graphicData uri="http://schemas.microsoft.com/office/word/2010/wordprocessingGroup">
                    <wpg:wgp>
                      <wpg:cNvGrpSpPr/>
                      <wpg:grpSpPr>
                        <a:xfrm>
                          <a:off x="0" y="0"/>
                          <a:ext cx="7015214" cy="12700"/>
                          <a:chOff x="0" y="0"/>
                          <a:chExt cx="7015214" cy="12700"/>
                        </a:xfrm>
                      </wpg:grpSpPr>
                      <wps:wsp>
                        <wps:cNvPr id="8" name="Shape 8"/>
                        <wps:cNvSpPr/>
                        <wps:spPr>
                          <a:xfrm>
                            <a:off x="0" y="0"/>
                            <a:ext cx="7015214" cy="0"/>
                          </a:xfrm>
                          <a:custGeom>
                            <a:avLst/>
                            <a:gdLst/>
                            <a:ahLst/>
                            <a:cxnLst/>
                            <a:rect l="0" t="0" r="0" b="0"/>
                            <a:pathLst>
                              <a:path w="7015214">
                                <a:moveTo>
                                  <a:pt x="0" y="0"/>
                                </a:moveTo>
                                <a:lnTo>
                                  <a:pt x="7015214" y="0"/>
                                </a:lnTo>
                              </a:path>
                            </a:pathLst>
                          </a:custGeom>
                          <a:ln w="12700" cap="rnd">
                            <a:round/>
                          </a:ln>
                        </wps:spPr>
                        <wps:style>
                          <a:lnRef idx="1">
                            <a:srgbClr val="1B242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
            <w:pict>
              <v:group id="Group 27421" style="width:552.379pt;height:1pt;position:absolute;mso-position-horizontal-relative:page;mso-position-horizontal:absolute;margin-left:19.793pt;mso-position-vertical-relative:page;margin-top:827.809pt;" coordsize="70152,127">
                <v:shape id="Shape 8" style="position:absolute;width:70152;height:0;left:0;top:0;" coordsize="7015214,0" path="m0,0l7015214,0">
                  <v:stroke weight="1pt" endcap="round" joinstyle="round" on="true" color="#1b2426"/>
                  <v:fill on="false" color="#000000" opacity="0"/>
                </v:shape>
                <w10:wrap type="topAndBottom"/>
              </v:group>
            </w:pict>
          </mc:Fallback>
        </mc:AlternateContent>
      </w:r>
      <w:r>
        <w:t>DIE INSTALLATION SOLLTE NUR VON EINEM TECHNIKER AUSGEFÜHRT WERDEN.</w:t>
      </w:r>
    </w:p>
    <w:p w14:paraId="7C65BDC3" w14:textId="24D58F98" w:rsidR="00711B2B" w:rsidRDefault="003C5825">
      <w:pPr>
        <w:spacing w:after="201"/>
        <w:ind w:left="66"/>
      </w:pPr>
      <w:r>
        <w:t>Der</w:t>
      </w:r>
      <w:r w:rsidR="0075507E">
        <w:rPr>
          <w:b/>
        </w:rPr>
        <w:t xml:space="preserve"> </w:t>
      </w:r>
      <w:r w:rsidR="0075507E">
        <w:rPr>
          <w:color w:val="211E1F"/>
        </w:rPr>
        <w:t>Fluginsektenvernichter Typ THEKE</w:t>
      </w:r>
      <w:r>
        <w:t xml:space="preserve"> hat eine aufklappbare Frontklappe die durch lösen der beiden Schrauben voll geöffnet (maximaler Lichtoutput), voll geschlossen (verbirgt gefangene Insekten) oder in eine gewünschte Position dazwischen gestellt werden kann. Alternativ kann die Frontklappe komplett entfernt werden, indem Sie die Schrauben lösen und die Federn entfernen.</w:t>
      </w:r>
    </w:p>
    <w:p w14:paraId="662DEABB" w14:textId="77777777" w:rsidR="00711B2B" w:rsidRDefault="003C5825">
      <w:pPr>
        <w:pStyle w:val="berschrift2"/>
        <w:ind w:left="-5"/>
      </w:pPr>
      <w:r>
        <w:t xml:space="preserve">Thekeneinsatz </w:t>
      </w:r>
      <w:r>
        <w:rPr>
          <w:b w:val="0"/>
        </w:rPr>
        <w:t>(Anbringung A)</w:t>
      </w:r>
    </w:p>
    <w:p w14:paraId="0A9302BF" w14:textId="2FF27A5C" w:rsidR="00711B2B" w:rsidRDefault="003C5825">
      <w:pPr>
        <w:spacing w:after="201"/>
        <w:ind w:left="66"/>
      </w:pPr>
      <w:r>
        <w:t>Sie können den</w:t>
      </w:r>
      <w:r w:rsidR="0075507E">
        <w:t xml:space="preserve"> das Gerät</w:t>
      </w:r>
      <w:r>
        <w:t xml:space="preserve"> wahlweise im vorderen oder hinteren Bereich der Theke sowie auf der Theke platzieren. Egal für welche Möglichkeit Sie sich entscheiden, stellen Sie das Gerät so auf, dass der Lichtauslass in Richtung Personal / Thekenöffnung zeigt (siehe Anbringung A in der Montageanleitung). Um beispielsweise Werbematerial / Preislisten oder ähnliches am</w:t>
      </w:r>
      <w:r w:rsidR="0075507E">
        <w:t xml:space="preserve"> Gerät</w:t>
      </w:r>
      <w:r>
        <w:t xml:space="preserve"> anzubringen lösen Sie zuerst die beiden Schrauben an der Unterseite des Gerätes. Stecken Sie nun die mitgelieferten Clips in die dafür vorgesehenen Öffnungen und fixieren Sie sie mithilfe der vorher gelösten Schrauben. (siehe Anbringung A in der Montageanleitung)</w:t>
      </w:r>
    </w:p>
    <w:p w14:paraId="44DD01B3" w14:textId="77777777" w:rsidR="00711B2B" w:rsidRDefault="003C5825">
      <w:pPr>
        <w:pStyle w:val="berschrift2"/>
        <w:ind w:left="-5"/>
      </w:pPr>
      <w:r>
        <w:t xml:space="preserve">Wandbefestigung </w:t>
      </w:r>
      <w:r>
        <w:rPr>
          <w:b w:val="0"/>
        </w:rPr>
        <w:t>(Anbringung B)</w:t>
      </w:r>
    </w:p>
    <w:p w14:paraId="6D96FF39" w14:textId="77777777" w:rsidR="00711B2B" w:rsidRDefault="003C5825">
      <w:pPr>
        <w:ind w:left="66"/>
      </w:pPr>
      <w:r>
        <w:t xml:space="preserve">Um den </w:t>
      </w:r>
      <w:r w:rsidR="0075507E">
        <w:rPr>
          <w:b/>
        </w:rPr>
        <w:t xml:space="preserve"> </w:t>
      </w:r>
      <w:r>
        <w:t xml:space="preserve"> </w:t>
      </w:r>
      <w:r w:rsidR="0075507E">
        <w:rPr>
          <w:color w:val="211E1F"/>
        </w:rPr>
        <w:t xml:space="preserve">Fluginsektenvernichter Typ THEKE </w:t>
      </w:r>
      <w:r>
        <w:t xml:space="preserve">an der Wand zu befestigen markieren Sie bitte zwei Punkte an der Wand (siehe Anbringung B in der </w:t>
      </w:r>
    </w:p>
    <w:p w14:paraId="54CA2DAF" w14:textId="77777777" w:rsidR="00711B2B" w:rsidRDefault="003C5825">
      <w:pPr>
        <w:spacing w:after="201"/>
        <w:ind w:left="66"/>
      </w:pPr>
      <w:r>
        <w:t>Montageanleitung). Bohren Sie dann 2 Löcher in die Wand/Oberfläche und benutzen Sie die gelieferten Wanddübel und Schrauben um das Gerät zu befestigen.</w:t>
      </w:r>
    </w:p>
    <w:p w14:paraId="6B4775B4" w14:textId="77777777" w:rsidR="00711B2B" w:rsidRDefault="003C5825">
      <w:pPr>
        <w:spacing w:after="201"/>
        <w:ind w:left="66"/>
      </w:pPr>
      <w:r>
        <w:t xml:space="preserve">Wenn der </w:t>
      </w:r>
      <w:r w:rsidR="0075507E">
        <w:rPr>
          <w:b/>
        </w:rPr>
        <w:t xml:space="preserve"> </w:t>
      </w:r>
      <w:r>
        <w:t xml:space="preserve"> an seine</w:t>
      </w:r>
      <w:r w:rsidR="0075507E" w:rsidRPr="0075507E">
        <w:rPr>
          <w:color w:val="211E1F"/>
        </w:rPr>
        <w:t xml:space="preserve"> </w:t>
      </w:r>
      <w:r w:rsidR="0075507E">
        <w:rPr>
          <w:color w:val="211E1F"/>
        </w:rPr>
        <w:t>Fluginsektenvernichter Typ THEKE a</w:t>
      </w:r>
      <w:r>
        <w:t>m Bestimmungsort installiert ist bestücken Sie das Gerät mit den mitgelieferten Klebefolien (wie im Abschnitt Klebefolienwechsel beschrieben) und schließen es über das mitgelieferte Stromkabel an einen geeigneten Stromkreislauf an.</w:t>
      </w:r>
    </w:p>
    <w:p w14:paraId="2F7B6025" w14:textId="77777777" w:rsidR="00711B2B" w:rsidRDefault="003C5825">
      <w:pPr>
        <w:pStyle w:val="berschrift1"/>
        <w:spacing w:after="0" w:line="259" w:lineRule="auto"/>
        <w:ind w:left="-5"/>
      </w:pPr>
      <w:r>
        <w:rPr>
          <w:color w:val="221F1F"/>
        </w:rPr>
        <w:t>REINIGUNG</w:t>
      </w:r>
    </w:p>
    <w:p w14:paraId="2B2438B2" w14:textId="77777777" w:rsidR="00711B2B" w:rsidRDefault="003C5825">
      <w:pPr>
        <w:ind w:left="66"/>
      </w:pPr>
      <w:r>
        <w:t xml:space="preserve">BEVOR SIE MIT DER REINIGUNG DES GERÄTS BEGINNEN, </w:t>
      </w:r>
    </w:p>
    <w:p w14:paraId="279FC28F" w14:textId="77777777" w:rsidR="00711B2B" w:rsidRDefault="003C5825">
      <w:pPr>
        <w:ind w:left="66"/>
      </w:pPr>
      <w:r>
        <w:t xml:space="preserve">VERGEWISSERN SIE SICH IMMER, DASS SIE DAS GERÄT </w:t>
      </w:r>
    </w:p>
    <w:p w14:paraId="36F79CC6" w14:textId="77777777" w:rsidR="00711B2B" w:rsidRDefault="003C5825">
      <w:pPr>
        <w:spacing w:after="201"/>
        <w:ind w:left="66"/>
      </w:pPr>
      <w:r>
        <w:t>AUSGESCHALTET HABEN UND ES VON DER STROMZUFUHR GETRENNT HABEN. DIE REINIGUNG SOLLTE VOM TECHNISCHEN PERSONAL AUSGEFÜHRT WERDEN.</w:t>
      </w:r>
    </w:p>
    <w:p w14:paraId="544633F1" w14:textId="6978E1BF" w:rsidR="00711B2B" w:rsidRDefault="003C5825">
      <w:pPr>
        <w:spacing w:after="413"/>
        <w:ind w:left="66"/>
      </w:pPr>
      <w:r>
        <w:t xml:space="preserve">Es wird empfohlen einmal monatlich eine Reinigung des Geräts durchzuführen (bspw. beim Klebefolienwechsel). Dabei sollten Sie das Gerät nach Entfernung der Klebefolie gründlich und sorgfältig mit Hilfe eines feuchten Tuches von Schmutzpartikeln befreien. Stellen Sie sicher, dass der </w:t>
      </w:r>
      <w:r w:rsidR="0075507E">
        <w:rPr>
          <w:color w:val="211E1F"/>
        </w:rPr>
        <w:t xml:space="preserve">Fluginsektenvernichter Typ THEKE </w:t>
      </w:r>
      <w:r>
        <w:t>komplett trocken ist bevor er wieder an die Stromzufuhr angeschlossen wird.</w:t>
      </w:r>
    </w:p>
    <w:p w14:paraId="2443807D" w14:textId="77777777" w:rsidR="00711B2B" w:rsidRDefault="003C5825">
      <w:pPr>
        <w:pStyle w:val="berschrift1"/>
        <w:spacing w:after="0" w:line="259" w:lineRule="auto"/>
        <w:ind w:left="-5"/>
      </w:pPr>
      <w:r>
        <w:rPr>
          <w:color w:val="221F1F"/>
        </w:rPr>
        <w:t>GARANTIE</w:t>
      </w:r>
      <w:r w:rsidR="00402689" w:rsidRPr="00402689">
        <w:t xml:space="preserve"> </w:t>
      </w:r>
      <w:r w:rsidR="00402689">
        <w:t>Fluginsektenvernichter Typ THEKE</w:t>
      </w:r>
    </w:p>
    <w:p w14:paraId="73723253" w14:textId="7DBEFFEC" w:rsidR="00711B2B" w:rsidRDefault="003C5825" w:rsidP="00775296">
      <w:pPr>
        <w:ind w:left="66"/>
      </w:pPr>
      <w:r>
        <w:t>Wir gewähren für den</w:t>
      </w:r>
      <w:r w:rsidR="00402689">
        <w:t xml:space="preserve"> </w:t>
      </w:r>
      <w:r w:rsidR="00775296">
        <w:t xml:space="preserve">Fluginsektenvernichter Typ Theke </w:t>
      </w:r>
      <w:r>
        <w:t>eine Garantie von 2 Jahren</w:t>
      </w:r>
      <w:r w:rsidR="00775296">
        <w:t>*</w:t>
      </w:r>
      <w:r>
        <w:t xml:space="preserve">. Die Benutzung von nicht erprobten und nicht anerkannten Ersatzteilen kann zum Erlöschen der Garantie führen. Stellen Sie sicher das originale </w:t>
      </w:r>
      <w:proofErr w:type="spellStart"/>
      <w:r>
        <w:t>glupac</w:t>
      </w:r>
      <w:proofErr w:type="spellEnd"/>
      <w:r>
        <w:rPr>
          <w:rFonts w:ascii="Calibri" w:eastAsia="Calibri" w:hAnsi="Calibri" w:cs="Calibri"/>
          <w:i w:val="0"/>
          <w:color w:val="211E1F"/>
        </w:rPr>
        <w:t>®</w:t>
      </w:r>
      <w:r>
        <w:t xml:space="preserve"> Klebefolien verwendet werden.</w:t>
      </w:r>
    </w:p>
    <w:p w14:paraId="61B8DB24" w14:textId="77777777" w:rsidR="00775296" w:rsidRDefault="00775296" w:rsidP="00775296">
      <w:pPr>
        <w:ind w:left="66"/>
      </w:pPr>
    </w:p>
    <w:p w14:paraId="7F01993A" w14:textId="77777777" w:rsidR="00711B2B" w:rsidRDefault="003C5825">
      <w:pPr>
        <w:spacing w:after="0" w:line="234" w:lineRule="auto"/>
        <w:ind w:left="0" w:firstLine="0"/>
      </w:pPr>
      <w:r>
        <w:rPr>
          <w:sz w:val="12"/>
        </w:rPr>
        <w:t>*Keine Garantie auf UV-Röhren, Starter und Klebefolien. Die Garantie beinhaltet zudem keinen Ersatz für Beschädigungen durch fehlerhaften Einsatz, falschen Gebrauch oder Einsatz in einer falschen Umgebung.</w:t>
      </w:r>
    </w:p>
    <w:p w14:paraId="7B6048AB" w14:textId="77777777" w:rsidR="00711B2B" w:rsidRDefault="00711B2B">
      <w:pPr>
        <w:sectPr w:rsidR="00711B2B">
          <w:type w:val="continuous"/>
          <w:pgSz w:w="11900" w:h="16840"/>
          <w:pgMar w:top="1440" w:right="288" w:bottom="1440" w:left="325" w:header="720" w:footer="720" w:gutter="0"/>
          <w:cols w:num="2" w:space="222"/>
        </w:sectPr>
      </w:pPr>
    </w:p>
    <w:p w14:paraId="20C1ED3A" w14:textId="0E14FF0B" w:rsidR="00A1721A" w:rsidRDefault="00A1721A">
      <w:pPr>
        <w:pStyle w:val="berschrift1"/>
        <w:spacing w:after="0" w:line="259" w:lineRule="auto"/>
        <w:ind w:left="-5"/>
        <w:rPr>
          <w:color w:val="221F1F"/>
        </w:rPr>
      </w:pPr>
      <w:r>
        <w:rPr>
          <w:noProof/>
        </w:rPr>
        <w:lastRenderedPageBreak/>
        <w:drawing>
          <wp:anchor distT="0" distB="0" distL="114300" distR="114300" simplePos="0" relativeHeight="251660288" behindDoc="1" locked="0" layoutInCell="1" allowOverlap="0" wp14:anchorId="04A2A0B6" wp14:editId="1F5D110A">
            <wp:simplePos x="0" y="0"/>
            <wp:positionH relativeFrom="page">
              <wp:posOffset>180975</wp:posOffset>
            </wp:positionH>
            <wp:positionV relativeFrom="paragraph">
              <wp:posOffset>10795</wp:posOffset>
            </wp:positionV>
            <wp:extent cx="7239000" cy="4166235"/>
            <wp:effectExtent l="0" t="0" r="0" b="5715"/>
            <wp:wrapNone/>
            <wp:docPr id="28340" name="Picture 28340"/>
            <wp:cNvGraphicFramePr/>
            <a:graphic xmlns:a="http://schemas.openxmlformats.org/drawingml/2006/main">
              <a:graphicData uri="http://schemas.openxmlformats.org/drawingml/2006/picture">
                <pic:pic xmlns:pic="http://schemas.openxmlformats.org/drawingml/2006/picture">
                  <pic:nvPicPr>
                    <pic:cNvPr id="28340" name="Picture 28340"/>
                    <pic:cNvPicPr/>
                  </pic:nvPicPr>
                  <pic:blipFill>
                    <a:blip r:embed="rId8"/>
                    <a:stretch>
                      <a:fillRect/>
                    </a:stretch>
                  </pic:blipFill>
                  <pic:spPr>
                    <a:xfrm>
                      <a:off x="0" y="0"/>
                      <a:ext cx="7239000" cy="4166235"/>
                    </a:xfrm>
                    <a:prstGeom prst="rect">
                      <a:avLst/>
                    </a:prstGeom>
                  </pic:spPr>
                </pic:pic>
              </a:graphicData>
            </a:graphic>
            <wp14:sizeRelH relativeFrom="margin">
              <wp14:pctWidth>0</wp14:pctWidth>
            </wp14:sizeRelH>
            <wp14:sizeRelV relativeFrom="margin">
              <wp14:pctHeight>0</wp14:pctHeight>
            </wp14:sizeRelV>
          </wp:anchor>
        </w:drawing>
      </w:r>
    </w:p>
    <w:p w14:paraId="5B8EB827" w14:textId="26387FC3" w:rsidR="00A1721A" w:rsidRPr="00A1721A" w:rsidRDefault="00A1721A" w:rsidP="00A1721A"/>
    <w:p w14:paraId="017A9B39" w14:textId="083255DF" w:rsidR="00711B2B" w:rsidRDefault="003C5825">
      <w:pPr>
        <w:pStyle w:val="berschrift1"/>
        <w:spacing w:after="0" w:line="259" w:lineRule="auto"/>
        <w:ind w:left="-5"/>
      </w:pPr>
      <w:r>
        <w:rPr>
          <w:color w:val="221F1F"/>
        </w:rPr>
        <w:t>KLEBEFOLIENWECHSEL</w:t>
      </w:r>
    </w:p>
    <w:p w14:paraId="57A17DBF" w14:textId="228086AC" w:rsidR="00711B2B" w:rsidRDefault="003C5825">
      <w:pPr>
        <w:spacing w:after="201"/>
        <w:ind w:left="66" w:right="2533"/>
      </w:pPr>
      <w:r>
        <w:t>BEVOR SIE MIT DEM AUSTAUSCH DER KLEBEFOLIE BEGINNEN, VERGEWISSERN SIE SICH IMMER, DASS SIE DAS GERÄT AUSGESCHALTET HABEN UND ES VON DER STROMZUFUHR GETRENNT HABEN.</w:t>
      </w:r>
    </w:p>
    <w:p w14:paraId="6961F063" w14:textId="210613D8" w:rsidR="00711B2B" w:rsidRDefault="003C5825">
      <w:pPr>
        <w:spacing w:after="201"/>
        <w:ind w:left="66" w:right="2410"/>
      </w:pPr>
      <w:r>
        <w:t xml:space="preserve">Die Klebefolie sollte jeden Monat ausgetauscht werden. Bitte benutzen Sie ausschließlich original </w:t>
      </w:r>
      <w:proofErr w:type="spellStart"/>
      <w:r>
        <w:t>glupac</w:t>
      </w:r>
      <w:proofErr w:type="spellEnd"/>
      <w:r>
        <w:rPr>
          <w:rFonts w:ascii="Calibri" w:eastAsia="Calibri" w:hAnsi="Calibri" w:cs="Calibri"/>
          <w:i w:val="0"/>
          <w:color w:val="211E1F"/>
        </w:rPr>
        <w:t>®</w:t>
      </w:r>
      <w:r>
        <w:t xml:space="preserve"> Klebefolien, da der Gebrauch von Imitaten zur Erlöschung der Garantieleistung führen kann. De</w:t>
      </w:r>
      <w:r w:rsidR="00522BB2">
        <w:t xml:space="preserve">r </w:t>
      </w:r>
      <w:r w:rsidR="00522BB2">
        <w:rPr>
          <w:color w:val="211E1F"/>
        </w:rPr>
        <w:t xml:space="preserve">Fluginsektenvernichter Typ THEKE </w:t>
      </w:r>
      <w:r>
        <w:t>wird mit zwei hocheffektiven gelben Gitterklebefolien ausgeliefert, die das Monitoring vereinfachen und mit Wespen- und Fruchtfliegenlockstoff imprägniert sind.</w:t>
      </w:r>
    </w:p>
    <w:p w14:paraId="6D4FEFC3" w14:textId="310E0819" w:rsidR="00711B2B" w:rsidRDefault="003C5825">
      <w:pPr>
        <w:ind w:left="66"/>
      </w:pPr>
      <w:r>
        <w:t>Um die Klebefolie zu tausche gehen Sie folgendermaßen vor:</w:t>
      </w:r>
    </w:p>
    <w:p w14:paraId="2EADF7F6" w14:textId="77777777" w:rsidR="00711B2B" w:rsidRDefault="003C5825">
      <w:pPr>
        <w:numPr>
          <w:ilvl w:val="0"/>
          <w:numId w:val="2"/>
        </w:numPr>
        <w:ind w:right="1244" w:hanging="195"/>
      </w:pPr>
      <w:r>
        <w:t>Klappen Sie die Frontklappe auf</w:t>
      </w:r>
    </w:p>
    <w:p w14:paraId="630E7666" w14:textId="6A21677D" w:rsidR="00711B2B" w:rsidRDefault="003C5825">
      <w:pPr>
        <w:numPr>
          <w:ilvl w:val="0"/>
          <w:numId w:val="2"/>
        </w:numPr>
        <w:ind w:right="1244" w:hanging="195"/>
      </w:pPr>
      <w:r>
        <w:t xml:space="preserve">Entfernen Sie die alte </w:t>
      </w:r>
      <w:proofErr w:type="spellStart"/>
      <w:r>
        <w:t>glupac</w:t>
      </w:r>
      <w:proofErr w:type="spellEnd"/>
      <w:r>
        <w:rPr>
          <w:rFonts w:ascii="Calibri" w:eastAsia="Calibri" w:hAnsi="Calibri" w:cs="Calibri"/>
          <w:i w:val="0"/>
          <w:color w:val="211E1F"/>
        </w:rPr>
        <w:t>®</w:t>
      </w:r>
      <w:r>
        <w:t xml:space="preserve"> Klebefolie vorsichtig aus dem Gerät indem Sie die </w:t>
      </w:r>
    </w:p>
    <w:p w14:paraId="3CE125AF" w14:textId="77777777" w:rsidR="00711B2B" w:rsidRDefault="003C5825">
      <w:pPr>
        <w:tabs>
          <w:tab w:val="center" w:pos="3207"/>
        </w:tabs>
        <w:ind w:left="0" w:firstLine="0"/>
      </w:pPr>
      <w:r>
        <w:t xml:space="preserve"> </w:t>
      </w:r>
      <w:r>
        <w:tab/>
        <w:t xml:space="preserve">    Klebefolie an den zwei Laschen aus dem Gerät ziehen</w:t>
      </w:r>
    </w:p>
    <w:p w14:paraId="246F835E" w14:textId="165D5ED5" w:rsidR="00711B2B" w:rsidRDefault="003C5825">
      <w:pPr>
        <w:numPr>
          <w:ilvl w:val="0"/>
          <w:numId w:val="2"/>
        </w:numPr>
        <w:ind w:right="1244" w:hanging="195"/>
      </w:pPr>
      <w:r>
        <w:t xml:space="preserve">Entfernen Sie die Schutzfolie auf der neuen </w:t>
      </w:r>
      <w:proofErr w:type="spellStart"/>
      <w:r>
        <w:t>glupac</w:t>
      </w:r>
      <w:proofErr w:type="spellEnd"/>
      <w:r>
        <w:rPr>
          <w:rFonts w:ascii="Calibri" w:eastAsia="Calibri" w:hAnsi="Calibri" w:cs="Calibri"/>
          <w:i w:val="0"/>
          <w:color w:val="211E1F"/>
        </w:rPr>
        <w:t>®</w:t>
      </w:r>
      <w:r>
        <w:t xml:space="preserve"> Klebefolie</w:t>
      </w:r>
    </w:p>
    <w:p w14:paraId="650F69FD" w14:textId="562BE123" w:rsidR="00711B2B" w:rsidRDefault="003C5825">
      <w:pPr>
        <w:numPr>
          <w:ilvl w:val="0"/>
          <w:numId w:val="2"/>
        </w:numPr>
        <w:ind w:right="1244" w:hanging="195"/>
      </w:pPr>
      <w:r>
        <w:t xml:space="preserve">Schieben Sie die obere </w:t>
      </w:r>
      <w:proofErr w:type="spellStart"/>
      <w:r>
        <w:t>glupac</w:t>
      </w:r>
      <w:proofErr w:type="spellEnd"/>
      <w:r>
        <w:rPr>
          <w:rFonts w:ascii="Calibri" w:eastAsia="Calibri" w:hAnsi="Calibri" w:cs="Calibri"/>
          <w:i w:val="0"/>
          <w:color w:val="211E1F"/>
        </w:rPr>
        <w:t>®</w:t>
      </w:r>
      <w:r>
        <w:t xml:space="preserve"> Klebefolie mit den beiden Laschen nach auße</w:t>
      </w:r>
      <w:r w:rsidR="00775296">
        <w:t>n</w:t>
      </w:r>
      <w:r>
        <w:t xml:space="preserve"> zeigend in die </w:t>
      </w:r>
      <w:r w:rsidR="00775296">
        <w:br/>
      </w:r>
      <w:r>
        <w:t>gebogenen Schienen</w:t>
      </w:r>
    </w:p>
    <w:p w14:paraId="1B61FBA2" w14:textId="6EC563B6" w:rsidR="00711B2B" w:rsidRDefault="003C5825">
      <w:pPr>
        <w:numPr>
          <w:ilvl w:val="0"/>
          <w:numId w:val="2"/>
        </w:numPr>
        <w:ind w:right="1244" w:hanging="195"/>
      </w:pPr>
      <w:r>
        <w:t xml:space="preserve">Schieben Sie die untere </w:t>
      </w:r>
      <w:proofErr w:type="spellStart"/>
      <w:r>
        <w:t>glupac</w:t>
      </w:r>
      <w:proofErr w:type="spellEnd"/>
      <w:r>
        <w:rPr>
          <w:rFonts w:ascii="Calibri" w:eastAsia="Calibri" w:hAnsi="Calibri" w:cs="Calibri"/>
          <w:i w:val="0"/>
          <w:color w:val="211E1F"/>
        </w:rPr>
        <w:t>®</w:t>
      </w:r>
      <w:r>
        <w:t xml:space="preserve"> Klebefolie mit den beiden Laschen nach außen zeigend in die</w:t>
      </w:r>
      <w:r w:rsidR="00775296">
        <w:br/>
      </w:r>
      <w:r>
        <w:t>geraden Schienen</w:t>
      </w:r>
    </w:p>
    <w:p w14:paraId="18FF3ED6" w14:textId="075BFB53" w:rsidR="00711B2B" w:rsidRDefault="003C5825">
      <w:pPr>
        <w:numPr>
          <w:ilvl w:val="0"/>
          <w:numId w:val="2"/>
        </w:numPr>
        <w:spacing w:after="200"/>
        <w:ind w:right="1244" w:hanging="195"/>
      </w:pPr>
      <w:r>
        <w:t>Abschließend klappen Sie die Frontklappe in die gewünschte Position zurück</w:t>
      </w:r>
      <w:r w:rsidR="00775296">
        <w:t xml:space="preserve">. </w:t>
      </w:r>
      <w:r>
        <w:t>Bitte überzeugen</w:t>
      </w:r>
      <w:r w:rsidR="00775296">
        <w:br/>
      </w:r>
      <w:r>
        <w:t xml:space="preserve">Sie sich, dass Sie original </w:t>
      </w:r>
      <w:proofErr w:type="spellStart"/>
      <w:r>
        <w:t>glupac</w:t>
      </w:r>
      <w:proofErr w:type="spellEnd"/>
      <w:r>
        <w:rPr>
          <w:rFonts w:ascii="Calibri" w:eastAsia="Calibri" w:hAnsi="Calibri" w:cs="Calibri"/>
          <w:i w:val="0"/>
          <w:color w:val="211E1F"/>
        </w:rPr>
        <w:t>®</w:t>
      </w:r>
      <w:r>
        <w:t xml:space="preserve"> Klebefolien benutzen die mit diesem Gerät kompatibel sind.</w:t>
      </w:r>
    </w:p>
    <w:p w14:paraId="131A4813" w14:textId="77777777" w:rsidR="00711B2B" w:rsidRDefault="003C5825">
      <w:pPr>
        <w:pStyle w:val="berschrift1"/>
        <w:spacing w:after="0" w:line="259" w:lineRule="auto"/>
        <w:ind w:left="-5"/>
      </w:pPr>
      <w:r>
        <w:rPr>
          <w:color w:val="221F1F"/>
        </w:rPr>
        <w:t>UV-RÖHRENWECHSEL</w:t>
      </w:r>
    </w:p>
    <w:p w14:paraId="724BBA72" w14:textId="77777777" w:rsidR="00711B2B" w:rsidRDefault="003C5825">
      <w:pPr>
        <w:spacing w:after="201"/>
        <w:ind w:left="66" w:right="2616"/>
      </w:pPr>
      <w:r>
        <w:t>BEVOR SIE MIT DER WARTUNG DES GERÄTS BEGINNEN, VERGEWISSERN SIE SICH IMMER, DASS SIE DAS GERÄT AUSGESCHALTET HABEN UND ES VON DER STROMZUFUHR GETRENNT HABEN. DER UV-RÖHRENWECHSEL SOLLTE VOM TECHNISCHEN PERSONAL AUSGEFÜHRT WERDEN.</w:t>
      </w:r>
    </w:p>
    <w:p w14:paraId="7BEB2489" w14:textId="77777777" w:rsidR="00775296" w:rsidRDefault="00775296">
      <w:pPr>
        <w:spacing w:after="201"/>
        <w:ind w:left="66" w:right="2640"/>
      </w:pPr>
    </w:p>
    <w:p w14:paraId="5E3C946F" w14:textId="77365F18" w:rsidR="00711B2B" w:rsidRDefault="003C5825">
      <w:pPr>
        <w:spacing w:after="201"/>
        <w:ind w:left="66" w:right="2640"/>
      </w:pPr>
      <w:r>
        <w:t xml:space="preserve">Um die Effizienz Ihres </w:t>
      </w:r>
      <w:r w:rsidR="00522BB2">
        <w:rPr>
          <w:color w:val="211E1F"/>
        </w:rPr>
        <w:t>Fluginsektenvernichter Typ THEKE</w:t>
      </w:r>
      <w:r>
        <w:t xml:space="preserve"> Wespen- und Fruchtfliegenfängers aufrecht zu erhalten sollten Sie die UV-Röhren alle 12 Monate wechseln. Die Intensität des UV-Lichtes sinkt nach etwa 12 Monaten unter ein effektives Anlocklevel, da die Phosphorschicht, welche für eine korrekte Abstrahlung der UV-Wellenlänge sorgt, verbraucht ist und der UV-Lichtoutput kontinuierlich nachlässt.</w:t>
      </w:r>
    </w:p>
    <w:p w14:paraId="55174B40" w14:textId="77777777" w:rsidR="00711B2B" w:rsidRDefault="003C5825">
      <w:pPr>
        <w:ind w:left="66"/>
      </w:pPr>
      <w:r>
        <w:t>Um die UV-Röhren zu tausche gehen Sie folgendermaßen vor:</w:t>
      </w:r>
    </w:p>
    <w:p w14:paraId="79AEC9C9" w14:textId="77777777" w:rsidR="00711B2B" w:rsidRDefault="003C5825">
      <w:pPr>
        <w:numPr>
          <w:ilvl w:val="0"/>
          <w:numId w:val="3"/>
        </w:numPr>
        <w:ind w:hanging="195"/>
      </w:pPr>
      <w:r>
        <w:t>Klappen Sie die Frontklappe auf</w:t>
      </w:r>
    </w:p>
    <w:p w14:paraId="418027AB" w14:textId="77777777" w:rsidR="00711B2B" w:rsidRDefault="003C5825">
      <w:pPr>
        <w:numPr>
          <w:ilvl w:val="0"/>
          <w:numId w:val="3"/>
        </w:numPr>
        <w:ind w:hanging="195"/>
      </w:pPr>
      <w:r>
        <w:t>Drehen Sie die UV-Röhre um 90°</w:t>
      </w:r>
    </w:p>
    <w:p w14:paraId="6C7EAA81" w14:textId="77777777" w:rsidR="00711B2B" w:rsidRDefault="003C5825">
      <w:pPr>
        <w:numPr>
          <w:ilvl w:val="0"/>
          <w:numId w:val="3"/>
        </w:numPr>
        <w:ind w:hanging="195"/>
      </w:pPr>
      <w:r>
        <w:t>Ziehen Sie die UV-Röhre aus ihrer Halterung</w:t>
      </w:r>
    </w:p>
    <w:p w14:paraId="525FF978" w14:textId="77777777" w:rsidR="00711B2B" w:rsidRDefault="003C5825">
      <w:pPr>
        <w:numPr>
          <w:ilvl w:val="0"/>
          <w:numId w:val="3"/>
        </w:numPr>
        <w:spacing w:after="201"/>
        <w:ind w:hanging="195"/>
      </w:pPr>
      <w:r>
        <w:t>Entsorgen Sie die UV-Röhre gemäß Ihrer lokalen WEEE Bestimmungen</w:t>
      </w:r>
    </w:p>
    <w:p w14:paraId="46F24BEE" w14:textId="77777777" w:rsidR="00711B2B" w:rsidRDefault="003C5825">
      <w:pPr>
        <w:pStyle w:val="berschrift1"/>
        <w:spacing w:after="0" w:line="259" w:lineRule="auto"/>
        <w:ind w:left="-5"/>
      </w:pPr>
      <w:r>
        <w:rPr>
          <w:color w:val="221F1F"/>
        </w:rPr>
        <w:t>STARTERWECHSEL</w:t>
      </w:r>
    </w:p>
    <w:p w14:paraId="5857D369" w14:textId="77777777" w:rsidR="00711B2B" w:rsidRDefault="003C5825">
      <w:pPr>
        <w:ind w:left="66"/>
      </w:pPr>
      <w:r>
        <w:t xml:space="preserve">BEVOR SIE MIT DER WARTUNG DES GERÄTS BEGINNEN, VERGEWISSERN SIE SICH IMMER, DASS SIE </w:t>
      </w:r>
    </w:p>
    <w:p w14:paraId="3C5636D7" w14:textId="77777777" w:rsidR="00711B2B" w:rsidRDefault="003C5825">
      <w:pPr>
        <w:ind w:left="66"/>
      </w:pPr>
      <w:r>
        <w:t xml:space="preserve">DAS GERÄT AUSGESCHALTET HABEN UND ES VON DER STROMZUFUHR GETRENNT </w:t>
      </w:r>
    </w:p>
    <w:p w14:paraId="5282ABD3" w14:textId="7BBD6D32" w:rsidR="00711B2B" w:rsidRDefault="003C5825">
      <w:pPr>
        <w:ind w:left="66"/>
      </w:pPr>
      <w:r>
        <w:t xml:space="preserve">HABEN. DER STARTERWECHSEL SOLLTE VOM TECHNISCHEN PERSONAL </w:t>
      </w:r>
      <w:r w:rsidR="009B216B">
        <w:t>AUSGEFÜHRT WERDEN.</w:t>
      </w:r>
    </w:p>
    <w:p w14:paraId="7A068FB2" w14:textId="77777777" w:rsidR="00711B2B" w:rsidRDefault="003C5825">
      <w:pPr>
        <w:spacing w:after="0" w:line="259" w:lineRule="auto"/>
        <w:ind w:left="16" w:right="-85" w:firstLine="0"/>
      </w:pPr>
      <w:r>
        <w:rPr>
          <w:noProof/>
        </w:rPr>
        <w:lastRenderedPageBreak/>
        <w:drawing>
          <wp:inline distT="0" distB="0" distL="0" distR="0" wp14:anchorId="7E38FDC0" wp14:editId="373AFC25">
            <wp:extent cx="6925001" cy="4295775"/>
            <wp:effectExtent l="0" t="0" r="9525" b="0"/>
            <wp:docPr id="28338" name="Picture 28338"/>
            <wp:cNvGraphicFramePr/>
            <a:graphic xmlns:a="http://schemas.openxmlformats.org/drawingml/2006/main">
              <a:graphicData uri="http://schemas.openxmlformats.org/drawingml/2006/picture">
                <pic:pic xmlns:pic="http://schemas.openxmlformats.org/drawingml/2006/picture">
                  <pic:nvPicPr>
                    <pic:cNvPr id="28338" name="Picture 28338"/>
                    <pic:cNvPicPr/>
                  </pic:nvPicPr>
                  <pic:blipFill>
                    <a:blip r:embed="rId9"/>
                    <a:stretch>
                      <a:fillRect/>
                    </a:stretch>
                  </pic:blipFill>
                  <pic:spPr>
                    <a:xfrm>
                      <a:off x="0" y="0"/>
                      <a:ext cx="6930081" cy="4298926"/>
                    </a:xfrm>
                    <a:prstGeom prst="rect">
                      <a:avLst/>
                    </a:prstGeom>
                  </pic:spPr>
                </pic:pic>
              </a:graphicData>
            </a:graphic>
          </wp:inline>
        </w:drawing>
      </w:r>
    </w:p>
    <w:p w14:paraId="68C39BE5" w14:textId="77777777" w:rsidR="00711B2B" w:rsidRDefault="00711B2B">
      <w:pPr>
        <w:spacing w:after="41" w:line="259" w:lineRule="auto"/>
        <w:ind w:left="82" w:right="-68" w:firstLine="0"/>
      </w:pPr>
    </w:p>
    <w:p w14:paraId="33408053" w14:textId="77777777" w:rsidR="00711B2B" w:rsidRDefault="003C5825">
      <w:pPr>
        <w:spacing w:after="97" w:line="259" w:lineRule="auto"/>
        <w:ind w:left="92"/>
      </w:pPr>
      <w:r>
        <w:rPr>
          <w:color w:val="1B2426"/>
          <w:sz w:val="20"/>
        </w:rPr>
        <w:t>Wespen- und Fruchtfliegenkontrolle für den Thekenbereich</w:t>
      </w:r>
    </w:p>
    <w:p w14:paraId="4C87CBB7" w14:textId="77777777" w:rsidR="00711B2B" w:rsidRDefault="003C5825">
      <w:pPr>
        <w:pStyle w:val="berschrift1"/>
        <w:spacing w:after="88" w:line="259" w:lineRule="auto"/>
        <w:ind w:left="0" w:right="551" w:firstLine="0"/>
        <w:jc w:val="right"/>
      </w:pPr>
      <w:r>
        <w:rPr>
          <w:color w:val="221F1F"/>
          <w:sz w:val="32"/>
        </w:rPr>
        <w:lastRenderedPageBreak/>
        <w:t>MONTAGEANLEITUNG</w:t>
      </w:r>
    </w:p>
    <w:p w14:paraId="109F03F9" w14:textId="77777777" w:rsidR="00711B2B" w:rsidRDefault="003C5825">
      <w:pPr>
        <w:spacing w:after="3622" w:line="259" w:lineRule="auto"/>
        <w:ind w:left="568" w:firstLine="0"/>
      </w:pPr>
      <w:r>
        <w:rPr>
          <w:noProof/>
        </w:rPr>
        <w:drawing>
          <wp:inline distT="0" distB="0" distL="0" distR="0" wp14:anchorId="1BF8A5D7" wp14:editId="2CFEE9C5">
            <wp:extent cx="6562345" cy="6202681"/>
            <wp:effectExtent l="0" t="0" r="0" b="0"/>
            <wp:docPr id="28342" name="Picture 28342"/>
            <wp:cNvGraphicFramePr/>
            <a:graphic xmlns:a="http://schemas.openxmlformats.org/drawingml/2006/main">
              <a:graphicData uri="http://schemas.openxmlformats.org/drawingml/2006/picture">
                <pic:pic xmlns:pic="http://schemas.openxmlformats.org/drawingml/2006/picture">
                  <pic:nvPicPr>
                    <pic:cNvPr id="28342" name="Picture 28342"/>
                    <pic:cNvPicPr/>
                  </pic:nvPicPr>
                  <pic:blipFill>
                    <a:blip r:embed="rId10"/>
                    <a:stretch>
                      <a:fillRect/>
                    </a:stretch>
                  </pic:blipFill>
                  <pic:spPr>
                    <a:xfrm>
                      <a:off x="0" y="0"/>
                      <a:ext cx="6562345" cy="6202681"/>
                    </a:xfrm>
                    <a:prstGeom prst="rect">
                      <a:avLst/>
                    </a:prstGeom>
                  </pic:spPr>
                </pic:pic>
              </a:graphicData>
            </a:graphic>
          </wp:inline>
        </w:drawing>
      </w:r>
    </w:p>
    <w:p w14:paraId="3F682ECA" w14:textId="749691FB" w:rsidR="00711B2B" w:rsidRDefault="00522BB2">
      <w:pPr>
        <w:spacing w:after="15" w:line="259" w:lineRule="auto"/>
        <w:ind w:left="107" w:right="-96" w:firstLine="0"/>
      </w:pPr>
      <w:r>
        <w:t>SAUER</w:t>
      </w:r>
      <w:r w:rsidR="00307565">
        <w:t>-SYSTEMS</w:t>
      </w:r>
    </w:p>
    <w:p w14:paraId="1AD7D23A" w14:textId="77777777" w:rsidR="00522BB2" w:rsidRDefault="00522BB2">
      <w:pPr>
        <w:spacing w:after="15" w:line="259" w:lineRule="auto"/>
        <w:ind w:left="107" w:right="-96" w:firstLine="0"/>
      </w:pPr>
      <w:r>
        <w:t xml:space="preserve">SASA Sauer GmbH </w:t>
      </w:r>
    </w:p>
    <w:p w14:paraId="64A8C28D" w14:textId="77777777" w:rsidR="00522BB2" w:rsidRDefault="00522BB2">
      <w:pPr>
        <w:spacing w:after="15" w:line="259" w:lineRule="auto"/>
        <w:ind w:left="107" w:right="-96" w:firstLine="0"/>
      </w:pPr>
      <w:r>
        <w:t>Karl-Schiller-Str. 14</w:t>
      </w:r>
    </w:p>
    <w:p w14:paraId="393C8000" w14:textId="77777777" w:rsidR="00522BB2" w:rsidRDefault="00522BB2">
      <w:pPr>
        <w:spacing w:after="15" w:line="259" w:lineRule="auto"/>
        <w:ind w:left="107" w:right="-96" w:firstLine="0"/>
      </w:pPr>
      <w:r>
        <w:t>76684 Östringen</w:t>
      </w:r>
    </w:p>
    <w:p w14:paraId="6107659A" w14:textId="77777777" w:rsidR="00522BB2" w:rsidRDefault="00522BB2">
      <w:pPr>
        <w:spacing w:after="15" w:line="259" w:lineRule="auto"/>
        <w:ind w:left="107" w:right="-96" w:firstLine="0"/>
      </w:pPr>
      <w:r>
        <w:t>Tel. 07253 / 9887799</w:t>
      </w:r>
    </w:p>
    <w:p w14:paraId="73D1AA78" w14:textId="18E5F158" w:rsidR="00522BB2" w:rsidRDefault="00522BB2">
      <w:pPr>
        <w:spacing w:after="15" w:line="259" w:lineRule="auto"/>
        <w:ind w:left="107" w:right="-96" w:firstLine="0"/>
      </w:pPr>
      <w:r>
        <w:t>info@sauer</w:t>
      </w:r>
      <w:r w:rsidR="00307565">
        <w:t>-SYSTEMS.COM</w:t>
      </w:r>
    </w:p>
    <w:p w14:paraId="4D85C284" w14:textId="77777777" w:rsidR="00522BB2" w:rsidRDefault="00522BB2">
      <w:pPr>
        <w:spacing w:after="15" w:line="259" w:lineRule="auto"/>
        <w:ind w:left="107" w:right="-96" w:firstLine="0"/>
      </w:pPr>
    </w:p>
    <w:p w14:paraId="1F8424C9" w14:textId="77777777" w:rsidR="00711B2B" w:rsidRDefault="003C5825">
      <w:pPr>
        <w:spacing w:after="0" w:line="259" w:lineRule="auto"/>
        <w:ind w:left="107" w:firstLine="0"/>
      </w:pPr>
      <w:r>
        <w:rPr>
          <w:sz w:val="8"/>
        </w:rPr>
        <w:t xml:space="preserve">R1 11/10 </w:t>
      </w:r>
    </w:p>
    <w:p w14:paraId="2B83FCE7" w14:textId="77777777" w:rsidR="00522BB2" w:rsidRDefault="00522BB2">
      <w:pPr>
        <w:spacing w:after="0" w:line="259" w:lineRule="auto"/>
        <w:ind w:left="107" w:firstLine="0"/>
      </w:pPr>
    </w:p>
    <w:sectPr w:rsidR="00522BB2">
      <w:type w:val="continuous"/>
      <w:pgSz w:w="11900" w:h="16840"/>
      <w:pgMar w:top="313" w:right="513" w:bottom="232" w:left="3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4444"/>
    <w:multiLevelType w:val="hybridMultilevel"/>
    <w:tmpl w:val="41EC6556"/>
    <w:lvl w:ilvl="0" w:tplc="0D223AFE">
      <w:start w:val="1"/>
      <w:numFmt w:val="decimal"/>
      <w:lvlText w:val="%1."/>
      <w:lvlJc w:val="left"/>
      <w:pPr>
        <w:ind w:left="251"/>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1" w:tplc="9552E226">
      <w:start w:val="1"/>
      <w:numFmt w:val="lowerLetter"/>
      <w:lvlText w:val="%2"/>
      <w:lvlJc w:val="left"/>
      <w:pPr>
        <w:ind w:left="180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2" w:tplc="64209BE0">
      <w:start w:val="1"/>
      <w:numFmt w:val="lowerRoman"/>
      <w:lvlText w:val="%3"/>
      <w:lvlJc w:val="left"/>
      <w:pPr>
        <w:ind w:left="252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3" w:tplc="72468402">
      <w:start w:val="1"/>
      <w:numFmt w:val="decimal"/>
      <w:lvlText w:val="%4"/>
      <w:lvlJc w:val="left"/>
      <w:pPr>
        <w:ind w:left="324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4" w:tplc="C2968CA2">
      <w:start w:val="1"/>
      <w:numFmt w:val="lowerLetter"/>
      <w:lvlText w:val="%5"/>
      <w:lvlJc w:val="left"/>
      <w:pPr>
        <w:ind w:left="396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5" w:tplc="BD20EB7C">
      <w:start w:val="1"/>
      <w:numFmt w:val="lowerRoman"/>
      <w:lvlText w:val="%6"/>
      <w:lvlJc w:val="left"/>
      <w:pPr>
        <w:ind w:left="468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6" w:tplc="7C2AC654">
      <w:start w:val="1"/>
      <w:numFmt w:val="decimal"/>
      <w:lvlText w:val="%7"/>
      <w:lvlJc w:val="left"/>
      <w:pPr>
        <w:ind w:left="540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7" w:tplc="173E2DD0">
      <w:start w:val="1"/>
      <w:numFmt w:val="lowerLetter"/>
      <w:lvlText w:val="%8"/>
      <w:lvlJc w:val="left"/>
      <w:pPr>
        <w:ind w:left="612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8" w:tplc="E022254C">
      <w:start w:val="1"/>
      <w:numFmt w:val="lowerRoman"/>
      <w:lvlText w:val="%9"/>
      <w:lvlJc w:val="left"/>
      <w:pPr>
        <w:ind w:left="684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abstractNum>
  <w:abstractNum w:abstractNumId="1" w15:restartNumberingAfterBreak="0">
    <w:nsid w:val="28CB4015"/>
    <w:multiLevelType w:val="hybridMultilevel"/>
    <w:tmpl w:val="2B6633F6"/>
    <w:lvl w:ilvl="0" w:tplc="CD98E64E">
      <w:start w:val="1"/>
      <w:numFmt w:val="decimal"/>
      <w:lvlText w:val="%1."/>
      <w:lvlJc w:val="left"/>
      <w:pPr>
        <w:ind w:left="251"/>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1" w:tplc="C5642CE6">
      <w:start w:val="1"/>
      <w:numFmt w:val="lowerLetter"/>
      <w:lvlText w:val="%2"/>
      <w:lvlJc w:val="left"/>
      <w:pPr>
        <w:ind w:left="180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2" w:tplc="FE38422A">
      <w:start w:val="1"/>
      <w:numFmt w:val="lowerRoman"/>
      <w:lvlText w:val="%3"/>
      <w:lvlJc w:val="left"/>
      <w:pPr>
        <w:ind w:left="252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3" w:tplc="9774E4E8">
      <w:start w:val="1"/>
      <w:numFmt w:val="decimal"/>
      <w:lvlText w:val="%4"/>
      <w:lvlJc w:val="left"/>
      <w:pPr>
        <w:ind w:left="324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4" w:tplc="24D2EB9E">
      <w:start w:val="1"/>
      <w:numFmt w:val="lowerLetter"/>
      <w:lvlText w:val="%5"/>
      <w:lvlJc w:val="left"/>
      <w:pPr>
        <w:ind w:left="396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5" w:tplc="CA8C0420">
      <w:start w:val="1"/>
      <w:numFmt w:val="lowerRoman"/>
      <w:lvlText w:val="%6"/>
      <w:lvlJc w:val="left"/>
      <w:pPr>
        <w:ind w:left="468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6" w:tplc="85DCB550">
      <w:start w:val="1"/>
      <w:numFmt w:val="decimal"/>
      <w:lvlText w:val="%7"/>
      <w:lvlJc w:val="left"/>
      <w:pPr>
        <w:ind w:left="540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7" w:tplc="5AACE4B0">
      <w:start w:val="1"/>
      <w:numFmt w:val="lowerLetter"/>
      <w:lvlText w:val="%8"/>
      <w:lvlJc w:val="left"/>
      <w:pPr>
        <w:ind w:left="612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lvl w:ilvl="8" w:tplc="BF48C730">
      <w:start w:val="1"/>
      <w:numFmt w:val="lowerRoman"/>
      <w:lvlText w:val="%9"/>
      <w:lvlJc w:val="left"/>
      <w:pPr>
        <w:ind w:left="6840"/>
      </w:pPr>
      <w:rPr>
        <w:rFonts w:ascii="Century Gothic" w:eastAsia="Century Gothic" w:hAnsi="Century Gothic" w:cs="Century Gothic"/>
        <w:b w:val="0"/>
        <w:i/>
        <w:iCs/>
        <w:strike w:val="0"/>
        <w:dstrike w:val="0"/>
        <w:color w:val="221F1F"/>
        <w:sz w:val="18"/>
        <w:szCs w:val="18"/>
        <w:u w:val="none" w:color="000000"/>
        <w:bdr w:val="none" w:sz="0" w:space="0" w:color="auto"/>
        <w:shd w:val="clear" w:color="auto" w:fill="auto"/>
        <w:vertAlign w:val="baseline"/>
      </w:rPr>
    </w:lvl>
  </w:abstractNum>
  <w:abstractNum w:abstractNumId="2" w15:restartNumberingAfterBreak="0">
    <w:nsid w:val="343F099C"/>
    <w:multiLevelType w:val="hybridMultilevel"/>
    <w:tmpl w:val="C172A66A"/>
    <w:lvl w:ilvl="0" w:tplc="A91AB4CC">
      <w:start w:val="1"/>
      <w:numFmt w:val="bullet"/>
      <w:lvlText w:val="-"/>
      <w:lvlJc w:val="left"/>
      <w:pPr>
        <w:ind w:left="107"/>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1" w:tplc="8B6E9BA0">
      <w:start w:val="1"/>
      <w:numFmt w:val="bullet"/>
      <w:lvlText w:val="o"/>
      <w:lvlJc w:val="left"/>
      <w:pPr>
        <w:ind w:left="108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2" w:tplc="E1C8343A">
      <w:start w:val="1"/>
      <w:numFmt w:val="bullet"/>
      <w:lvlText w:val="▪"/>
      <w:lvlJc w:val="left"/>
      <w:pPr>
        <w:ind w:left="180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3" w:tplc="08AC1FCC">
      <w:start w:val="1"/>
      <w:numFmt w:val="bullet"/>
      <w:lvlText w:val="•"/>
      <w:lvlJc w:val="left"/>
      <w:pPr>
        <w:ind w:left="252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4" w:tplc="1E10A7E8">
      <w:start w:val="1"/>
      <w:numFmt w:val="bullet"/>
      <w:lvlText w:val="o"/>
      <w:lvlJc w:val="left"/>
      <w:pPr>
        <w:ind w:left="324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5" w:tplc="D9A89B9A">
      <w:start w:val="1"/>
      <w:numFmt w:val="bullet"/>
      <w:lvlText w:val="▪"/>
      <w:lvlJc w:val="left"/>
      <w:pPr>
        <w:ind w:left="396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6" w:tplc="F836C3B6">
      <w:start w:val="1"/>
      <w:numFmt w:val="bullet"/>
      <w:lvlText w:val="•"/>
      <w:lvlJc w:val="left"/>
      <w:pPr>
        <w:ind w:left="468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7" w:tplc="AB66DBEA">
      <w:start w:val="1"/>
      <w:numFmt w:val="bullet"/>
      <w:lvlText w:val="o"/>
      <w:lvlJc w:val="left"/>
      <w:pPr>
        <w:ind w:left="540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lvl w:ilvl="8" w:tplc="429EF4D0">
      <w:start w:val="1"/>
      <w:numFmt w:val="bullet"/>
      <w:lvlText w:val="▪"/>
      <w:lvlJc w:val="left"/>
      <w:pPr>
        <w:ind w:left="6120"/>
      </w:pPr>
      <w:rPr>
        <w:rFonts w:ascii="Century Gothic" w:eastAsia="Century Gothic" w:hAnsi="Century Gothic" w:cs="Century Gothic"/>
        <w:b w:val="0"/>
        <w:i/>
        <w:iCs/>
        <w:strike w:val="0"/>
        <w:dstrike w:val="0"/>
        <w:color w:val="211E1F"/>
        <w:sz w:val="18"/>
        <w:szCs w:val="18"/>
        <w:u w:val="none" w:color="000000"/>
        <w:bdr w:val="none" w:sz="0" w:space="0" w:color="auto"/>
        <w:shd w:val="clear" w:color="auto" w:fill="auto"/>
        <w:vertAlign w:val="baseline"/>
      </w:rPr>
    </w:lvl>
  </w:abstractNum>
  <w:num w:numId="1" w16cid:durableId="1343051156">
    <w:abstractNumId w:val="2"/>
  </w:num>
  <w:num w:numId="2" w16cid:durableId="536478848">
    <w:abstractNumId w:val="1"/>
  </w:num>
  <w:num w:numId="3" w16cid:durableId="261766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B2B"/>
    <w:rsid w:val="00255B21"/>
    <w:rsid w:val="00307565"/>
    <w:rsid w:val="003C5825"/>
    <w:rsid w:val="00402689"/>
    <w:rsid w:val="00522BB2"/>
    <w:rsid w:val="00711B2B"/>
    <w:rsid w:val="0075507E"/>
    <w:rsid w:val="00775296"/>
    <w:rsid w:val="009B216B"/>
    <w:rsid w:val="00A1721A"/>
    <w:rsid w:val="00F34F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D8B9F"/>
  <w15:docId w15:val="{5843C682-1CE8-4862-8F42-4DA95845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4" w:line="248" w:lineRule="auto"/>
      <w:ind w:left="10" w:hanging="10"/>
    </w:pPr>
    <w:rPr>
      <w:rFonts w:ascii="Century Gothic" w:eastAsia="Century Gothic" w:hAnsi="Century Gothic" w:cs="Century Gothic"/>
      <w:i/>
      <w:color w:val="221F1F"/>
      <w:sz w:val="18"/>
    </w:rPr>
  </w:style>
  <w:style w:type="paragraph" w:styleId="berschrift1">
    <w:name w:val="heading 1"/>
    <w:next w:val="Standard"/>
    <w:link w:val="berschrift1Zchn"/>
    <w:uiPriority w:val="9"/>
    <w:qFormat/>
    <w:pPr>
      <w:keepNext/>
      <w:keepLines/>
      <w:spacing w:after="3" w:line="265" w:lineRule="auto"/>
      <w:ind w:left="10" w:hanging="10"/>
      <w:outlineLvl w:val="0"/>
    </w:pPr>
    <w:rPr>
      <w:rFonts w:ascii="Century Gothic" w:eastAsia="Century Gothic" w:hAnsi="Century Gothic" w:cs="Century Gothic"/>
      <w:b/>
      <w:i/>
      <w:color w:val="211E1F"/>
      <w:sz w:val="18"/>
    </w:rPr>
  </w:style>
  <w:style w:type="paragraph" w:styleId="berschrift2">
    <w:name w:val="heading 2"/>
    <w:next w:val="Standard"/>
    <w:link w:val="berschrift2Zchn"/>
    <w:uiPriority w:val="9"/>
    <w:unhideWhenUsed/>
    <w:qFormat/>
    <w:pPr>
      <w:keepNext/>
      <w:keepLines/>
      <w:spacing w:after="0"/>
      <w:ind w:left="10" w:hanging="10"/>
      <w:outlineLvl w:val="1"/>
    </w:pPr>
    <w:rPr>
      <w:rFonts w:ascii="Century Gothic" w:eastAsia="Century Gothic" w:hAnsi="Century Gothic" w:cs="Century Gothic"/>
      <w:b/>
      <w:i/>
      <w:color w:val="221F1F"/>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entury Gothic" w:eastAsia="Century Gothic" w:hAnsi="Century Gothic" w:cs="Century Gothic"/>
      <w:b/>
      <w:i/>
      <w:color w:val="211E1F"/>
      <w:sz w:val="18"/>
    </w:rPr>
  </w:style>
  <w:style w:type="character" w:customStyle="1" w:styleId="berschrift2Zchn">
    <w:name w:val="Überschrift 2 Zchn"/>
    <w:link w:val="berschrift2"/>
    <w:rPr>
      <w:rFonts w:ascii="Century Gothic" w:eastAsia="Century Gothic" w:hAnsi="Century Gothic" w:cs="Century Gothic"/>
      <w:b/>
      <w:i/>
      <w:color w:val="221F1F"/>
      <w:sz w:val="18"/>
    </w:rPr>
  </w:style>
  <w:style w:type="paragraph" w:styleId="Sprechblasentext">
    <w:name w:val="Balloon Text"/>
    <w:basedOn w:val="Standard"/>
    <w:link w:val="SprechblasentextZchn"/>
    <w:uiPriority w:val="99"/>
    <w:semiHidden/>
    <w:unhideWhenUsed/>
    <w:rsid w:val="003C5825"/>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3C5825"/>
    <w:rPr>
      <w:rFonts w:ascii="Segoe UI" w:eastAsia="Century Gothic" w:hAnsi="Segoe UI" w:cs="Segoe UI"/>
      <w:i/>
      <w:color w:val="221F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23C45F06FD404E9B55C74744AD44B8" ma:contentTypeVersion="11" ma:contentTypeDescription="Create a new document." ma:contentTypeScope="" ma:versionID="12e6bb6b41b6ee5b3af69399ce6ab02e">
  <xsd:schema xmlns:xsd="http://www.w3.org/2001/XMLSchema" xmlns:xs="http://www.w3.org/2001/XMLSchema" xmlns:p="http://schemas.microsoft.com/office/2006/metadata/properties" xmlns:ns2="4726eff6-4a3a-4dea-a1bd-0be2e4e59686" xmlns:ns3="e6f8955a-61e8-4223-ad13-a24ef72ebe25" targetNamespace="http://schemas.microsoft.com/office/2006/metadata/properties" ma:root="true" ma:fieldsID="67071ef349b7e67ca311441c4a439384" ns2:_="" ns3:_="">
    <xsd:import namespace="4726eff6-4a3a-4dea-a1bd-0be2e4e59686"/>
    <xsd:import namespace="e6f8955a-61e8-4223-ad13-a24ef72ebe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6eff6-4a3a-4dea-a1bd-0be2e4e59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6cb284-54a9-4391-92cf-49f4d890c64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f8955a-61e8-4223-ad13-a24ef72ebe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3b2ba2-92a1-41d7-8c21-2f5233b3e840}" ma:internalName="TaxCatchAll" ma:showField="CatchAllData" ma:web="e6f8955a-61e8-4223-ad13-a24ef72ebe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26eff6-4a3a-4dea-a1bd-0be2e4e59686">
      <Terms xmlns="http://schemas.microsoft.com/office/infopath/2007/PartnerControls"/>
    </lcf76f155ced4ddcb4097134ff3c332f>
    <TaxCatchAll xmlns="e6f8955a-61e8-4223-ad13-a24ef72ebe25" xsi:nil="true"/>
  </documentManagement>
</p:properties>
</file>

<file path=customXml/itemProps1.xml><?xml version="1.0" encoding="utf-8"?>
<ds:datastoreItem xmlns:ds="http://schemas.openxmlformats.org/officeDocument/2006/customXml" ds:itemID="{1178DDF5-9BDE-4904-BDDA-BBC519657E02}">
  <ds:schemaRefs>
    <ds:schemaRef ds:uri="http://schemas.microsoft.com/sharepoint/v3/contenttype/forms"/>
  </ds:schemaRefs>
</ds:datastoreItem>
</file>

<file path=customXml/itemProps2.xml><?xml version="1.0" encoding="utf-8"?>
<ds:datastoreItem xmlns:ds="http://schemas.openxmlformats.org/officeDocument/2006/customXml" ds:itemID="{31F2B711-07B7-4ED4-B12B-7D8429580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6eff6-4a3a-4dea-a1bd-0be2e4e59686"/>
    <ds:schemaRef ds:uri="e6f8955a-61e8-4223-ad13-a24ef72eb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4F8CEF-9FCA-4FC7-AF4D-C47212D1FF9F}">
  <ds:schemaRefs>
    <ds:schemaRef ds:uri="http://schemas.microsoft.com/office/2006/metadata/properties"/>
    <ds:schemaRef ds:uri="http://schemas.microsoft.com/office/infopath/2007/PartnerControls"/>
    <ds:schemaRef ds:uri="4726eff6-4a3a-4dea-a1bd-0be2e4e59686"/>
    <ds:schemaRef ds:uri="e6f8955a-61e8-4223-ad13-a24ef72ebe2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7094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DE - Nectar.ai</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 Nectar.ai</dc:title>
  <dc:subject/>
  <dc:creator>24593</dc:creator>
  <cp:keywords/>
  <cp:lastModifiedBy>Karin Sauer | SauerSystems</cp:lastModifiedBy>
  <cp:revision>7</cp:revision>
  <cp:lastPrinted>2023-08-10T08:37:00Z</cp:lastPrinted>
  <dcterms:created xsi:type="dcterms:W3CDTF">2019-09-23T09:52:00Z</dcterms:created>
  <dcterms:modified xsi:type="dcterms:W3CDTF">2025-10-23T12:11:00Z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0x0101009423C45F06FD404E9B55C74744AD44B8</vt:lpwstr>
  </property>
</Properties>
</file>